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1696745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 2023 г.                                                                              № 632-т</w:t>
      </w:r>
      <w:r/>
    </w:p>
    <w:p>
      <w:pPr>
        <w:pStyle w:val="846"/>
        <w:ind w:right="228" w:firstLine="0"/>
        <w:jc w:val="center"/>
        <w:rPr>
          <w:rFonts w:ascii="Liberation Sans" w:hAnsi="Liberation Sans" w:cs="Liberation Sans"/>
          <w:lang w:val="ru-RU"/>
        </w:rPr>
      </w:pPr>
      <w:r>
        <w:rPr>
          <w:rFonts w:ascii="Liberation Sans" w:hAnsi="Liberation Sans" w:eastAsia="Liberation Serif" w:cs="Liberation Sans"/>
          <w:color w:val="0000ff"/>
          <w:sz w:val="24"/>
          <w:lang w:val="ru-RU"/>
        </w:rPr>
        <w:t xml:space="preserve">г. Салехард</w:t>
      </w:r>
      <w:r/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Cs w:val="28"/>
        </w:rPr>
        <w:t xml:space="preserve">Ямало-Ненецкого автономного округа _____________________ 2023 г.</w:t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</w:rPr>
        <w:t xml:space="preserve">__</w:t>
      </w:r>
      <w:r/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Об установлении цен (тарифов) на электрическую энергию </w:t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для населения и приравненных к нему категорий потребителей </w:t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на территории Ямало-Ненецкого автономного округа </w:t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на 2024 год</w:t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№ 35-ФЗ «Об электроэнергетике», постановлением Правительства Российской Федерации от 29 декабря 2011 года № 1178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«О ценообразовании в области регулируемых цен (тарифов)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в электроэнергетике»,</w:t>
      </w:r>
      <w:r>
        <w:rPr>
          <w:rFonts w:ascii="Liberation Sans" w:hAnsi="Liberation Sans" w:cs="Liberation Sans"/>
          <w:sz w:val="28"/>
          <w:szCs w:val="28"/>
        </w:rPr>
        <w:t xml:space="preserve"> приказом ФАС России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от 10 марта 2022 года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br/>
        <w:t xml:space="preserve">№ 196/22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Об утверждении Регламента установления цен (тарифов) и (или) их предельных уровней, предусматривающего порядок регистр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», </w:t>
      </w:r>
      <w:r>
        <w:rPr>
          <w:rFonts w:ascii="Liberation Sans" w:hAnsi="Liberation Sans" w:cs="Liberation Sans"/>
          <w:sz w:val="28"/>
          <w:szCs w:val="28"/>
        </w:rPr>
        <w:t xml:space="preserve">приказом Федеральной антимонопольной службы </w:t>
      </w:r>
      <w:r>
        <w:rPr>
          <w:rFonts w:ascii="Liberation Sans" w:hAnsi="Liberation Sans" w:cs="Liberation Sans"/>
          <w:sz w:val="28"/>
          <w:szCs w:val="28"/>
        </w:rPr>
        <w:br/>
        <w:t xml:space="preserve">от 12 октября 2023 года № 726/23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«О предельных минимальных </w:t>
      </w:r>
      <w:r>
        <w:rPr>
          <w:rFonts w:ascii="Liberation Sans" w:hAnsi="Liberation Sans" w:cs="Liberation Sans"/>
          <w:color w:val="000000"/>
          <w:sz w:val="28"/>
          <w:szCs w:val="28"/>
        </w:rPr>
        <w:br/>
        <w:t xml:space="preserve">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2024 год»,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1. Установить с 01 января 2024 года по 31 декабря 2024 года </w:t>
      </w:r>
      <w:hyperlink r:id="rId11" w:tooltip="consultantplus://offline/ref=58344B958071A86B3646561228E60966DC92E4268CC732E0E688963FA3777EF3402C79FCB4CEF4D9C1E0E0d0j8J" w:history="1">
        <w:r>
          <w:rPr>
            <w:rFonts w:ascii="Liberation Sans" w:hAnsi="Liberation Sans" w:eastAsia="Liberation Serif" w:cs="Liberation Sans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sz w:val="28"/>
          <w:szCs w:val="28"/>
        </w:rPr>
        <w:t xml:space="preserve">, согласно приложению к настоящему приказу.</w:t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тарифной </w:t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Д.Н. Афанасьев</w:t>
      </w:r>
      <w:r/>
    </w:p>
    <w:p>
      <w:pPr>
        <w:jc w:val="both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cs="Liberation Sans"/>
        </w:rPr>
      </w:r>
      <w:r/>
    </w:p>
    <w:p>
      <w:pPr>
        <w:contextualSpacing/>
        <w:ind w:left="5388" w:hanging="1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ПРИЛОЖЕНИЕ</w:t>
      </w:r>
      <w:r/>
    </w:p>
    <w:p>
      <w:pPr>
        <w:contextualSpacing/>
        <w:ind w:left="5388" w:hanging="1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contextualSpacing/>
        <w:ind w:left="5388" w:hanging="1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 </w:t>
      </w:r>
      <w:r/>
    </w:p>
    <w:p>
      <w:pPr>
        <w:contextualSpacing/>
        <w:ind w:left="5388" w:hanging="1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от 19 декабря 2023 года № 632-т</w:t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ЦЕНЫ (ТАРИФЫ)</w:t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НА ЭЛЕКТРИЧЕСКУЮ ЭНЕРГИЮ ДЛЯ НАСЕЛЕНИЯ И ПРИРАВНЕННЫХ</w:t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К НЕМУ КАТЕГОРИЙ ПОТРЕБИТЕЛЕЙ НА ТЕРРИТОРИИ ЯМАЛО-НЕНЕЦКОГО АВТОНОМНОГО ОКРУГА, НА 2024 ГОД</w:t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tbl>
      <w:tblPr>
        <w:tblW w:w="10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680"/>
        <w:gridCol w:w="2160"/>
        <w:gridCol w:w="2160"/>
      </w:tblGrid>
      <w:tr>
        <w:trPr>
          <w:trHeight w:val="276"/>
        </w:trPr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0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Ямало-Ненецкий автономный округ (территория Ямало-Ненецкого автономного округа, технологически не связанная с Единой энергетической системой России </w:t>
            </w:r>
            <w:r/>
          </w:p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и технологически изолированными территориальными электроэнергетическими системами)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№ </w:t>
            </w:r>
            <w:r/>
          </w:p>
          <w:p>
            <w:pPr>
              <w:pStyle w:val="847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vMerge w:val="restart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Категории потребителей с разбивкой </w:t>
            </w:r>
            <w:r/>
          </w:p>
          <w:p>
            <w:pPr>
              <w:pStyle w:val="848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 ставкам и дифференциацией по зонам суток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2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Цена (тариф), руб./кВт.ч                            (с учетом НДС)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I полугодие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II полугодие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 и приравненные к нему, за исключением населения и потребителей, указанных в </w:t>
            </w:r>
            <w:hyperlink r:id="rId12" w:tooltip="consultantplus://offline/ref=A8EB71213BBBD44D6BE35CFB5BD47D9995598DE1846D5C1BCFFCE3472F417B0B113023AE5F9788D8FCC12B84449EA848BB0317909F43FF1Ek2uCK" w:history="1">
              <w:r>
                <w:rPr>
                  <w:rFonts w:ascii="Liberation Sans" w:hAnsi="Liberation Sans" w:cs="Liberation Sans"/>
                  <w:sz w:val="22"/>
                  <w:szCs w:val="22"/>
                </w:rPr>
                <w:t xml:space="preserve">строках 2</w:t>
              </w:r>
            </w:hyperlink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- </w:t>
            </w:r>
            <w:hyperlink r:id="rId13" w:tooltip="consultantplus://offline/ref=A8EB71213BBBD44D6BE35CFB5BD47D9995598DE1846D5C1BCFFCE3472F417B0B113023AE5F9788DDF5C12B84449EA848BB0317909F43FF1Ek2uCK" w:history="1">
              <w:r>
                <w:rPr>
                  <w:rFonts w:ascii="Liberation Sans" w:hAnsi="Liberation Sans" w:cs="Liberation Sans"/>
                  <w:sz w:val="22"/>
                  <w:szCs w:val="22"/>
                </w:rPr>
                <w:t xml:space="preserve">5</w:t>
              </w:r>
            </w:hyperlink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: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1.2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3,82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1.3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3,84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  <w:r/>
          </w:p>
          <w:p>
            <w:pPr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/>
          </w:p>
          <w:p>
            <w:pPr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/>
          </w:p>
          <w:p>
            <w:pPr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2,63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2.2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2,67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1,30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2.3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2,69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2,63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1,30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iCs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  <w:r/>
          </w:p>
          <w:p>
            <w:pPr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iCs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iCs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/>
          </w:p>
          <w:p>
            <w:pPr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iCs/>
                <w:sz w:val="22"/>
                <w:szCs w:val="22"/>
              </w:rPr>
              <w:t xml:space="preserve">наймода</w:t>
            </w:r>
            <w:r>
              <w:rPr>
                <w:rFonts w:ascii="Liberation Sans" w:hAnsi="Liberation Sans" w:cs="Liberation Sans"/>
                <w:iCs/>
                <w:sz w:val="22"/>
                <w:szCs w:val="22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iCs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iCs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/>
          </w:p>
          <w:p>
            <w:pPr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iCs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iCs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2,63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3.2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2,67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1,30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3.3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2,69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2,63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1,30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2,63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4.2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2,67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1,30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4.3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2,69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2,63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1,30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сельских населенных пунктах, и приравненные к нему: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2,63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5.2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2,67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1,30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5.3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2,69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2,63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1,30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Потребители, приравненные к населению: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исполнителей коммунальных услуг (товариществ собственников жилья, жилищно-строительных, жилищных или иных специа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6.1.1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6.1.2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3,82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6.1.3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3,84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Садоводческие некоммерческие товарищества и огороднические некоммерческие товарищества.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6.2.2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3,82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6.2.3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3,84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6.3.2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3,82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6.3.3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3,84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Содержащиеся за счет прихожан религиозные организации.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6.4.2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3,82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6.4.3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3,84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6.5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6.5.2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3,82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6.5.3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3,84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6.6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36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6.6.2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3,82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6.6.3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3,84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/>
          </w:p>
        </w:tc>
      </w:tr>
    </w:tbl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836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836"/>
        <w:jc w:val="right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</w:rPr>
        <w:t xml:space="preserve">Таблица 1</w:t>
      </w:r>
      <w:r/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БАЛАНСОВЫЕ ПОКАЗАТЕЛИ ПЛАНОВОГО ОБЪЕМА</w:t>
      </w:r>
      <w:r/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ПОЛЕЗНОГО ОТПУСКА ЭЛЕКТРИЧЕСКОЙ ЭНЕРГИИ, ИСПОЛЬЗУЕМЫЕ</w:t>
      </w:r>
      <w:r/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ПРИ РАСЧЕТЕ ЦЕН (ТАРИФОВ) НА ЭЛЕКТРИЧЕСКУЮ ЭНЕРГИЮ</w:t>
      </w:r>
      <w:r/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ДЛЯ НАСЕЛЕНИЯ И ПРИРАВНЕННЫХ К НЕМУ КАТЕГОРИЙ</w:t>
      </w:r>
      <w:r/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ПОТРЕБИТЕЛЕЙ НА ТЕРРИТОРИИ ЯМАЛО-НЕНЕЦКОГО </w:t>
      </w:r>
      <w:r/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АВТОНОМНОГО ОКРУГА&lt;*&gt; </w:t>
      </w:r>
      <w:r/>
    </w:p>
    <w:p>
      <w:pPr>
        <w:ind w:left="-284" w:firstLine="284"/>
        <w:jc w:val="center"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</w:r>
      <w:r/>
    </w:p>
    <w:tbl>
      <w:tblPr>
        <w:tblW w:w="10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860"/>
        <w:gridCol w:w="2070"/>
        <w:gridCol w:w="2070"/>
      </w:tblGrid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№ п/п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Merge w:val="restart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Категории потребителей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4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Плановый объем полезного отпуска электрической энергии, млн.кВт.ч 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I полугодие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II полугодие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 и приравненные к нему, за исключением населения и потребителей, указанных в </w:t>
            </w:r>
            <w:hyperlink w:tooltip="#P519" w:anchor="P519" w:history="1">
              <w:r>
                <w:rPr>
                  <w:rFonts w:ascii="Liberation Sans" w:hAnsi="Liberation Sans" w:cs="Liberation Sans"/>
                  <w:sz w:val="22"/>
                  <w:szCs w:val="22"/>
                </w:rPr>
                <w:t xml:space="preserve">строках 2</w:t>
              </w:r>
            </w:hyperlink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- </w:t>
            </w:r>
            <w:hyperlink w:tooltip="#P540" w:anchor="P540" w:history="1">
              <w:r>
                <w:rPr>
                  <w:rFonts w:ascii="Liberation Sans" w:hAnsi="Liberation Sans" w:cs="Liberation Sans"/>
                  <w:sz w:val="22"/>
                  <w:szCs w:val="22"/>
                </w:rPr>
                <w:t xml:space="preserve">5</w:t>
              </w:r>
            </w:hyperlink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: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11,98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10,16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16,09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сельских населенных пунктах и приравненные к нему: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помещения специализированного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52,44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42,79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Потребители, приравненные к населению: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1,04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исполнителей коммунальных услуг (товариществ собственников жилья, жилищно-строительных, жилищных или иных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специа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Садоводческие некоммерческие товарищества и огороднические некоммерческие товарищества.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0,00</w:t>
            </w:r>
            <w:r/>
          </w:p>
        </w:tc>
      </w:tr>
      <w:tr>
        <w:trPr>
          <w:trHeight w:val="1697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0,45</w:t>
            </w:r>
            <w:r/>
          </w:p>
        </w:tc>
      </w:tr>
      <w:tr>
        <w:trPr>
          <w:trHeight w:val="26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Содержащиеся за счет прихожан религиозные организации.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0,08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0,51</w:t>
            </w:r>
            <w:r/>
          </w:p>
        </w:tc>
      </w:tr>
    </w:tbl>
    <w:p>
      <w:pPr>
        <w:pStyle w:val="836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&lt;*&gt; территория Ямало-Ненецкого автономного округа, технологически не связанная с Единой энергетической системой России и технологически изолированными территориальными электроэнергетическими системами</w:t>
      </w:r>
      <w:r/>
    </w:p>
    <w:p>
      <w:pPr>
        <w:pStyle w:val="836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836"/>
        <w:jc w:val="right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</w:rPr>
        <w:t xml:space="preserve">Таблица 2</w:t>
      </w:r>
      <w:r/>
    </w:p>
    <w:p>
      <w:pPr>
        <w:pStyle w:val="836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tbl>
      <w:tblPr>
        <w:tblW w:w="10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860"/>
        <w:gridCol w:w="2070"/>
        <w:gridCol w:w="2070"/>
      </w:tblGrid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№ 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Merge w:val="restart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Категории потребителей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4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Примененный понижающий коэффициент при установлении цен (тарифов) на электрическую энергию (мощность)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I полугодие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II полугодие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 (или уполномоченные ими лица), предоставляющие гражданам жилые поме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0,7</w:t>
            </w:r>
            <w:r/>
          </w:p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0,7</w:t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энергоснабжения по показаниям общего прибора учета электрической энергии.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0,7</w:t>
            </w:r>
            <w:r/>
          </w:p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0,7</w:t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0,7</w:t>
            </w:r>
            <w:r/>
          </w:p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0,7</w:t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сельских населенных пунктах и приравненные к нему: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0,7</w:t>
            </w:r>
            <w:r/>
          </w:p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0,7</w:t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Потребители, приравненные к населению: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  <w:r/>
          </w:p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исполнителей коммунальных услуг (товариществ собственников жилья, жилищно-строительных, жилищных или иных специа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Садоводческие некоммерческие товарищества и огороднические некоммерческие товарищества.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Содержащиеся за счет прихожан религиозные организации.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Гарантирующие поставщики, энергосбытовые, энергоснабжающие организац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/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5.6</w:t>
            </w:r>
            <w:bookmarkEnd w:id="0"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6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/>
          </w:p>
        </w:tc>
      </w:tr>
    </w:tbl>
    <w:p>
      <w:pPr>
        <w:pStyle w:val="836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pStyle w:val="836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i/>
          <w:color w:val="0000ff"/>
        </w:rPr>
        <w:br/>
      </w:r>
      <w:r/>
    </w:p>
    <w:sectPr>
      <w:footnotePr/>
      <w:endnotePr/>
      <w:type w:val="nextPage"/>
      <w:pgSz w:w="11906" w:h="16838" w:orient="portrait"/>
      <w:pgMar w:top="1440" w:right="567" w:bottom="873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36"/>
      </w:pPr>
      <w:r>
        <w:separator/>
      </w:r>
      <w:r/>
    </w:p>
  </w:endnote>
  <w:endnote w:type="continuationSeparator" w:id="0">
    <w:p>
      <w:pPr>
        <w:pStyle w:val="836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 CYR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36"/>
      </w:pPr>
      <w:r>
        <w:separator/>
      </w:r>
      <w:r/>
    </w:p>
  </w:footnote>
  <w:footnote w:type="continuationSeparator" w:id="0">
    <w:p>
      <w:pPr>
        <w:pStyle w:val="836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7" w:default="1">
    <w:name w:val="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4"/>
    </w:rPr>
  </w:style>
  <w:style w:type="paragraph" w:styleId="638">
    <w:name w:val="Heading 1"/>
    <w:basedOn w:val="637"/>
    <w:next w:val="637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9">
    <w:name w:val="Heading 2"/>
    <w:basedOn w:val="637"/>
    <w:next w:val="637"/>
    <w:link w:val="6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0">
    <w:name w:val="Heading 3"/>
    <w:basedOn w:val="637"/>
    <w:next w:val="637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1">
    <w:name w:val="Heading 4"/>
    <w:basedOn w:val="637"/>
    <w:next w:val="637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637"/>
    <w:next w:val="6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43">
    <w:name w:val="Heading 6"/>
    <w:basedOn w:val="637"/>
    <w:next w:val="637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4">
    <w:name w:val="Heading 7"/>
    <w:basedOn w:val="637"/>
    <w:next w:val="6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5">
    <w:name w:val="Heading 8"/>
    <w:basedOn w:val="637"/>
    <w:next w:val="637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6">
    <w:name w:val="Heading 9"/>
    <w:basedOn w:val="637"/>
    <w:next w:val="637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character" w:styleId="650" w:customStyle="1">
    <w:name w:val="Heading 1 Char"/>
    <w:basedOn w:val="647"/>
    <w:uiPriority w:val="9"/>
    <w:rPr>
      <w:rFonts w:ascii="Arial" w:hAnsi="Arial" w:eastAsia="Arial" w:cs="Arial"/>
      <w:sz w:val="40"/>
      <w:szCs w:val="40"/>
    </w:rPr>
  </w:style>
  <w:style w:type="character" w:styleId="651" w:customStyle="1">
    <w:name w:val="Heading 2 Char"/>
    <w:basedOn w:val="647"/>
    <w:uiPriority w:val="9"/>
    <w:rPr>
      <w:rFonts w:ascii="Arial" w:hAnsi="Arial" w:eastAsia="Arial" w:cs="Arial"/>
      <w:sz w:val="34"/>
    </w:rPr>
  </w:style>
  <w:style w:type="character" w:styleId="652" w:customStyle="1">
    <w:name w:val="Heading 3 Char"/>
    <w:basedOn w:val="647"/>
    <w:uiPriority w:val="9"/>
    <w:rPr>
      <w:rFonts w:ascii="Arial" w:hAnsi="Arial" w:eastAsia="Arial" w:cs="Arial"/>
      <w:sz w:val="30"/>
      <w:szCs w:val="30"/>
    </w:rPr>
  </w:style>
  <w:style w:type="character" w:styleId="653" w:customStyle="1">
    <w:name w:val="Heading 4 Char"/>
    <w:basedOn w:val="647"/>
    <w:uiPriority w:val="9"/>
    <w:rPr>
      <w:rFonts w:ascii="Arial" w:hAnsi="Arial" w:eastAsia="Arial" w:cs="Arial"/>
      <w:b/>
      <w:bCs/>
      <w:sz w:val="26"/>
      <w:szCs w:val="26"/>
    </w:rPr>
  </w:style>
  <w:style w:type="character" w:styleId="654" w:customStyle="1">
    <w:name w:val="Heading 5 Char"/>
    <w:basedOn w:val="647"/>
    <w:uiPriority w:val="9"/>
    <w:rPr>
      <w:rFonts w:ascii="Arial" w:hAnsi="Arial" w:eastAsia="Arial" w:cs="Arial"/>
      <w:b/>
      <w:bCs/>
      <w:sz w:val="24"/>
      <w:szCs w:val="24"/>
    </w:rPr>
  </w:style>
  <w:style w:type="character" w:styleId="655" w:customStyle="1">
    <w:name w:val="Heading 6 Char"/>
    <w:basedOn w:val="647"/>
    <w:uiPriority w:val="9"/>
    <w:rPr>
      <w:rFonts w:ascii="Arial" w:hAnsi="Arial" w:eastAsia="Arial" w:cs="Arial"/>
      <w:b/>
      <w:bCs/>
      <w:sz w:val="22"/>
      <w:szCs w:val="22"/>
    </w:rPr>
  </w:style>
  <w:style w:type="character" w:styleId="656" w:customStyle="1">
    <w:name w:val="Heading 7 Char"/>
    <w:basedOn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 w:customStyle="1">
    <w:name w:val="Heading 8 Char"/>
    <w:basedOn w:val="647"/>
    <w:uiPriority w:val="9"/>
    <w:rPr>
      <w:rFonts w:ascii="Arial" w:hAnsi="Arial" w:eastAsia="Arial" w:cs="Arial"/>
      <w:i/>
      <w:iCs/>
      <w:sz w:val="22"/>
      <w:szCs w:val="22"/>
    </w:rPr>
  </w:style>
  <w:style w:type="character" w:styleId="658" w:customStyle="1">
    <w:name w:val="Heading 9 Char"/>
    <w:basedOn w:val="647"/>
    <w:uiPriority w:val="9"/>
    <w:rPr>
      <w:rFonts w:ascii="Arial" w:hAnsi="Arial" w:eastAsia="Arial" w:cs="Arial"/>
      <w:i/>
      <w:iCs/>
      <w:sz w:val="21"/>
      <w:szCs w:val="21"/>
    </w:rPr>
  </w:style>
  <w:style w:type="character" w:styleId="659" w:customStyle="1">
    <w:name w:val="Title Char"/>
    <w:basedOn w:val="647"/>
    <w:uiPriority w:val="10"/>
    <w:rPr>
      <w:sz w:val="48"/>
      <w:szCs w:val="48"/>
    </w:rPr>
  </w:style>
  <w:style w:type="character" w:styleId="660" w:customStyle="1">
    <w:name w:val="Subtitle Char"/>
    <w:basedOn w:val="647"/>
    <w:uiPriority w:val="11"/>
    <w:rPr>
      <w:sz w:val="24"/>
      <w:szCs w:val="24"/>
    </w:rPr>
  </w:style>
  <w:style w:type="character" w:styleId="661" w:customStyle="1">
    <w:name w:val="Quote Char"/>
    <w:uiPriority w:val="29"/>
    <w:rPr>
      <w:i/>
    </w:rPr>
  </w:style>
  <w:style w:type="character" w:styleId="662" w:customStyle="1">
    <w:name w:val="Intense Quote Char"/>
    <w:uiPriority w:val="30"/>
    <w:rPr>
      <w:i/>
    </w:rPr>
  </w:style>
  <w:style w:type="character" w:styleId="663" w:customStyle="1">
    <w:name w:val="Header Char"/>
    <w:basedOn w:val="647"/>
    <w:uiPriority w:val="99"/>
  </w:style>
  <w:style w:type="character" w:styleId="664" w:customStyle="1">
    <w:name w:val="Caption Char"/>
    <w:uiPriority w:val="99"/>
  </w:style>
  <w:style w:type="character" w:styleId="665" w:customStyle="1">
    <w:name w:val="Footnote Text Char"/>
    <w:uiPriority w:val="99"/>
    <w:rPr>
      <w:sz w:val="18"/>
    </w:rPr>
  </w:style>
  <w:style w:type="character" w:styleId="666" w:customStyle="1">
    <w:name w:val="Endnote Text Char"/>
    <w:uiPriority w:val="99"/>
    <w:rPr>
      <w:sz w:val="20"/>
    </w:rPr>
  </w:style>
  <w:style w:type="character" w:styleId="667" w:customStyle="1">
    <w:name w:val="Заголовок 1 Знак"/>
    <w:link w:val="638"/>
    <w:uiPriority w:val="9"/>
    <w:rPr>
      <w:rFonts w:ascii="Arial" w:hAnsi="Arial" w:eastAsia="Arial" w:cs="Arial"/>
      <w:sz w:val="40"/>
      <w:szCs w:val="40"/>
    </w:rPr>
  </w:style>
  <w:style w:type="character" w:styleId="668" w:customStyle="1">
    <w:name w:val="Заголовок 2 Знак"/>
    <w:link w:val="639"/>
    <w:uiPriority w:val="9"/>
    <w:rPr>
      <w:rFonts w:ascii="Arial" w:hAnsi="Arial" w:eastAsia="Arial" w:cs="Arial"/>
      <w:sz w:val="34"/>
    </w:rPr>
  </w:style>
  <w:style w:type="character" w:styleId="669" w:customStyle="1">
    <w:name w:val="Заголовок 3 Знак"/>
    <w:link w:val="640"/>
    <w:uiPriority w:val="9"/>
    <w:rPr>
      <w:rFonts w:ascii="Arial" w:hAnsi="Arial" w:eastAsia="Arial" w:cs="Arial"/>
      <w:sz w:val="30"/>
      <w:szCs w:val="30"/>
    </w:rPr>
  </w:style>
  <w:style w:type="character" w:styleId="670" w:customStyle="1">
    <w:name w:val="Заголовок 4 Знак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Заголовок 5 Знак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672" w:customStyle="1">
    <w:name w:val="Заголовок 6 Знак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673" w:customStyle="1">
    <w:name w:val="Заголовок 7 Знак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Заголовок 8 Знак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675" w:customStyle="1">
    <w:name w:val="Заголовок 9 Знак"/>
    <w:link w:val="646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637"/>
    <w:uiPriority w:val="34"/>
    <w:qFormat/>
    <w:pPr>
      <w:contextualSpacing/>
      <w:ind w:left="720"/>
    </w:pPr>
  </w:style>
  <w:style w:type="paragraph" w:styleId="677">
    <w:name w:val="No Spacing"/>
    <w:uiPriority w:val="1"/>
    <w:qFormat/>
  </w:style>
  <w:style w:type="paragraph" w:styleId="678">
    <w:name w:val="Title"/>
    <w:basedOn w:val="637"/>
    <w:next w:val="637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Заголовок Знак"/>
    <w:link w:val="678"/>
    <w:uiPriority w:val="10"/>
    <w:rPr>
      <w:sz w:val="48"/>
      <w:szCs w:val="48"/>
    </w:rPr>
  </w:style>
  <w:style w:type="paragraph" w:styleId="680">
    <w:name w:val="Subtitle"/>
    <w:basedOn w:val="637"/>
    <w:next w:val="637"/>
    <w:link w:val="681"/>
    <w:uiPriority w:val="11"/>
    <w:qFormat/>
    <w:pPr>
      <w:spacing w:before="200" w:after="200"/>
    </w:pPr>
  </w:style>
  <w:style w:type="character" w:styleId="681" w:customStyle="1">
    <w:name w:val="Подзаголовок Знак"/>
    <w:link w:val="680"/>
    <w:uiPriority w:val="11"/>
    <w:rPr>
      <w:sz w:val="24"/>
      <w:szCs w:val="24"/>
    </w:rPr>
  </w:style>
  <w:style w:type="paragraph" w:styleId="682">
    <w:name w:val="Quote"/>
    <w:basedOn w:val="637"/>
    <w:next w:val="637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37"/>
    <w:next w:val="637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paragraph" w:styleId="686">
    <w:name w:val="Header"/>
    <w:basedOn w:val="637"/>
    <w:link w:val="68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7" w:customStyle="1">
    <w:name w:val="Верхний колонтитул Знак"/>
    <w:link w:val="686"/>
    <w:uiPriority w:val="99"/>
  </w:style>
  <w:style w:type="paragraph" w:styleId="688">
    <w:name w:val="Footer"/>
    <w:basedOn w:val="637"/>
    <w:link w:val="69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9" w:customStyle="1">
    <w:name w:val="Footer Char"/>
    <w:uiPriority w:val="99"/>
  </w:style>
  <w:style w:type="paragraph" w:styleId="690">
    <w:name w:val="Caption"/>
    <w:basedOn w:val="637"/>
    <w:next w:val="6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 w:customStyle="1">
    <w:name w:val="Нижний колонтитул Знак"/>
    <w:link w:val="688"/>
    <w:uiPriority w:val="99"/>
  </w:style>
  <w:style w:type="table" w:styleId="69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9" w:customStyle="1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0" w:customStyle="1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1" w:customStyle="1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2" w:customStyle="1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3" w:customStyle="1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4" w:customStyle="1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6" w:customStyle="1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7" w:customStyle="1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8" w:customStyle="1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9" w:customStyle="1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0" w:customStyle="1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637"/>
    <w:link w:val="820"/>
    <w:uiPriority w:val="99"/>
    <w:semiHidden/>
    <w:unhideWhenUsed/>
    <w:pPr>
      <w:spacing w:after="40"/>
    </w:pPr>
    <w:rPr>
      <w:sz w:val="18"/>
    </w:rPr>
  </w:style>
  <w:style w:type="character" w:styleId="820" w:customStyle="1">
    <w:name w:val="Текст сноски Знак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637"/>
    <w:link w:val="823"/>
    <w:uiPriority w:val="99"/>
    <w:semiHidden/>
    <w:unhideWhenUsed/>
    <w:rPr>
      <w:sz w:val="20"/>
    </w:rPr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637"/>
    <w:next w:val="637"/>
    <w:uiPriority w:val="39"/>
    <w:unhideWhenUsed/>
    <w:pPr>
      <w:spacing w:after="57"/>
    </w:pPr>
  </w:style>
  <w:style w:type="paragraph" w:styleId="826">
    <w:name w:val="toc 2"/>
    <w:basedOn w:val="637"/>
    <w:next w:val="637"/>
    <w:uiPriority w:val="39"/>
    <w:unhideWhenUsed/>
    <w:pPr>
      <w:ind w:left="283"/>
      <w:spacing w:after="57"/>
    </w:pPr>
  </w:style>
  <w:style w:type="paragraph" w:styleId="827">
    <w:name w:val="toc 3"/>
    <w:basedOn w:val="637"/>
    <w:next w:val="637"/>
    <w:uiPriority w:val="39"/>
    <w:unhideWhenUsed/>
    <w:pPr>
      <w:ind w:left="567"/>
      <w:spacing w:after="57"/>
    </w:pPr>
  </w:style>
  <w:style w:type="paragraph" w:styleId="828">
    <w:name w:val="toc 4"/>
    <w:basedOn w:val="637"/>
    <w:next w:val="637"/>
    <w:uiPriority w:val="39"/>
    <w:unhideWhenUsed/>
    <w:pPr>
      <w:ind w:left="850"/>
      <w:spacing w:after="57"/>
    </w:pPr>
  </w:style>
  <w:style w:type="paragraph" w:styleId="829">
    <w:name w:val="toc 5"/>
    <w:basedOn w:val="637"/>
    <w:next w:val="637"/>
    <w:uiPriority w:val="39"/>
    <w:unhideWhenUsed/>
    <w:pPr>
      <w:ind w:left="1134"/>
      <w:spacing w:after="57"/>
    </w:pPr>
  </w:style>
  <w:style w:type="paragraph" w:styleId="830">
    <w:name w:val="toc 6"/>
    <w:basedOn w:val="637"/>
    <w:next w:val="637"/>
    <w:uiPriority w:val="39"/>
    <w:unhideWhenUsed/>
    <w:pPr>
      <w:ind w:left="1417"/>
      <w:spacing w:after="57"/>
    </w:pPr>
  </w:style>
  <w:style w:type="paragraph" w:styleId="831">
    <w:name w:val="toc 7"/>
    <w:basedOn w:val="637"/>
    <w:next w:val="637"/>
    <w:uiPriority w:val="39"/>
    <w:unhideWhenUsed/>
    <w:pPr>
      <w:ind w:left="1701"/>
      <w:spacing w:after="57"/>
    </w:pPr>
  </w:style>
  <w:style w:type="paragraph" w:styleId="832">
    <w:name w:val="toc 8"/>
    <w:basedOn w:val="637"/>
    <w:next w:val="637"/>
    <w:uiPriority w:val="39"/>
    <w:unhideWhenUsed/>
    <w:pPr>
      <w:ind w:left="1984"/>
      <w:spacing w:after="57"/>
    </w:pPr>
  </w:style>
  <w:style w:type="paragraph" w:styleId="833">
    <w:name w:val="toc 9"/>
    <w:basedOn w:val="637"/>
    <w:next w:val="637"/>
    <w:uiPriority w:val="39"/>
    <w:unhideWhenUsed/>
    <w:pPr>
      <w:ind w:left="2268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637"/>
    <w:next w:val="637"/>
    <w:uiPriority w:val="99"/>
    <w:unhideWhenUsed/>
  </w:style>
  <w:style w:type="paragraph" w:styleId="836" w:customStyle="1">
    <w:name w:val="ConsPlusNormal"/>
  </w:style>
  <w:style w:type="paragraph" w:styleId="837" w:customStyle="1">
    <w:name w:val="ConsPlusNonformat"/>
    <w:rPr>
      <w:rFonts w:ascii="Courier New" w:hAnsi="Courier New" w:eastAsia="Courier New" w:cs="Courier New"/>
      <w:sz w:val="20"/>
    </w:rPr>
  </w:style>
  <w:style w:type="paragraph" w:styleId="838" w:customStyle="1">
    <w:name w:val="ConsPlusTitle"/>
    <w:rPr>
      <w:rFonts w:ascii="Arial" w:hAnsi="Arial" w:eastAsia="Arial" w:cs="Arial"/>
      <w:b/>
    </w:rPr>
  </w:style>
  <w:style w:type="paragraph" w:styleId="839" w:customStyle="1">
    <w:name w:val="ConsPlusCell"/>
    <w:rPr>
      <w:rFonts w:ascii="Courier New" w:hAnsi="Courier New" w:eastAsia="Courier New" w:cs="Courier New"/>
      <w:sz w:val="20"/>
    </w:rPr>
  </w:style>
  <w:style w:type="paragraph" w:styleId="840" w:customStyle="1">
    <w:name w:val="ConsPlusDocList"/>
    <w:rPr>
      <w:rFonts w:ascii="Tahoma" w:hAnsi="Tahoma" w:eastAsia="Tahoma" w:cs="Tahoma"/>
      <w:sz w:val="18"/>
    </w:rPr>
  </w:style>
  <w:style w:type="paragraph" w:styleId="841" w:customStyle="1">
    <w:name w:val="ConsPlusTitlePage"/>
    <w:rPr>
      <w:rFonts w:ascii="Tahoma" w:hAnsi="Tahoma" w:eastAsia="Tahoma" w:cs="Tahoma"/>
    </w:rPr>
  </w:style>
  <w:style w:type="paragraph" w:styleId="842" w:customStyle="1">
    <w:name w:val="ConsPlusJurTerm"/>
  </w:style>
  <w:style w:type="paragraph" w:styleId="843" w:customStyle="1">
    <w:name w:val="ConsPlusTextList"/>
  </w:style>
  <w:style w:type="paragraph" w:styleId="844" w:customStyle="1">
    <w:name w:val="ConsPlusTextList"/>
  </w:style>
  <w:style w:type="paragraph" w:styleId="845">
    <w:name w:val="Body Text Indent 2"/>
    <w:pPr>
      <w:ind w:firstLine="720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4"/>
      <w:lang w:val="en-US" w:eastAsia="en-US"/>
    </w:rPr>
  </w:style>
  <w:style w:type="paragraph" w:styleId="846" w:customStyle="1">
    <w:name w:val="Основной текст с отступом 21"/>
    <w:pPr>
      <w:ind w:firstLine="720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4"/>
      <w:lang w:val="en-US" w:eastAsia="en-US"/>
    </w:rPr>
  </w:style>
  <w:style w:type="paragraph" w:styleId="847" w:customStyle="1">
    <w:name w:val="Прижатый влево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 CYR" w:hAnsi="Times New Roman CYR" w:cs="Times New Roman CYR"/>
      <w:szCs w:val="24"/>
    </w:rPr>
  </w:style>
  <w:style w:type="paragraph" w:styleId="848" w:customStyle="1">
    <w:name w:val="Нормальный (таблица)"/>
    <w:uiPriority w:val="99"/>
    <w:pPr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 CYR" w:hAnsi="Times New Roman CYR" w:cs="Times New Roman CYR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58344B958071A86B3646561228E60966DC92E4268CC732E0E688963FA3777EF3402C79FCB4CEF4D9C1E0E0d0j8J" TargetMode="External"/><Relationship Id="rId12" Type="http://schemas.openxmlformats.org/officeDocument/2006/relationships/hyperlink" Target="consultantplus://offline/ref=A8EB71213BBBD44D6BE35CFB5BD47D9995598DE1846D5C1BCFFCE3472F417B0B113023AE5F9788D8FCC12B84449EA848BB0317909F43FF1Ek2uCK" TargetMode="External"/><Relationship Id="rId13" Type="http://schemas.openxmlformats.org/officeDocument/2006/relationships/hyperlink" Target="consultantplus://offline/ref=A8EB71213BBBD44D6BE35CFB5BD47D9995598DE1846D5C1BCFFCE3472F417B0B113023AE5F9788DDF5C12B84449EA848BB0317909F43FF1Ek2uC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10.03.2022 N 196/22&amp;quot;Об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тарифов&amp;quot;(Зарегистрировано в Минюсте России 07.11.2022 N 70823)</dc:title>
  <dc:creator>Гурская Екатерина Анатольевна</dc:creator>
  <cp:revision>4</cp:revision>
  <dcterms:created xsi:type="dcterms:W3CDTF">2023-11-29T06:01:00Z</dcterms:created>
  <dcterms:modified xsi:type="dcterms:W3CDTF">2023-12-26T04:52:26Z</dcterms:modified>
</cp:coreProperties>
</file>